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集贤县总工会 2018年度部门决算</w:t>
      </w:r>
    </w:p>
    <w:p>
      <w:pPr>
        <w:spacing w:line="360" w:lineRule="auto"/>
        <w:jc w:val="center"/>
        <w:rPr>
          <w:rFonts w:ascii="仿宋" w:hAnsi="仿宋" w:eastAsia="仿宋" w:cs="仿宋"/>
          <w:b/>
          <w:bCs/>
          <w:sz w:val="52"/>
          <w:szCs w:val="52"/>
        </w:rPr>
      </w:pPr>
      <w:r>
        <w:rPr>
          <w:rFonts w:hint="eastAsia" w:ascii="仿宋" w:hAnsi="仿宋" w:eastAsia="仿宋" w:cs="仿宋"/>
          <w:b/>
          <w:bCs/>
          <w:sz w:val="44"/>
          <w:szCs w:val="44"/>
        </w:rPr>
        <w:t>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    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三、部门决算编报范围及</w:t>
      </w:r>
      <w:r>
        <w:rPr>
          <w:rFonts w:hint="eastAsia" w:ascii="仿宋" w:hAnsi="仿宋" w:eastAsia="仿宋" w:cs="仿宋"/>
          <w:sz w:val="32"/>
          <w:szCs w:val="32"/>
        </w:rPr>
        <w:t>人员构成</w:t>
      </w:r>
    </w:p>
    <w:p>
      <w:pPr>
        <w:widowControl/>
        <w:spacing w:line="360" w:lineRule="auto"/>
        <w:jc w:val="left"/>
        <w:rPr>
          <w:rFonts w:ascii="仿宋" w:hAnsi="仿宋" w:eastAsia="仿宋" w:cs="仿宋"/>
          <w:sz w:val="32"/>
          <w:szCs w:val="32"/>
        </w:rPr>
      </w:pP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 xml:space="preserve">    第二部分 2018年部门预算执行总体情况说明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 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w:t>
      </w:r>
    </w:p>
    <w:p>
      <w:pPr>
        <w:spacing w:line="360" w:lineRule="auto"/>
        <w:rPr>
          <w:rFonts w:ascii="仿宋" w:hAnsi="仿宋" w:eastAsia="仿宋" w:cs="仿宋"/>
          <w:b/>
          <w:sz w:val="32"/>
          <w:szCs w:val="32"/>
        </w:rPr>
      </w:pPr>
      <w:r>
        <w:rPr>
          <w:rFonts w:hint="eastAsia" w:ascii="仿宋" w:hAnsi="仿宋" w:eastAsia="仿宋" w:cs="仿宋"/>
          <w:b/>
          <w:sz w:val="32"/>
          <w:szCs w:val="32"/>
        </w:rPr>
        <w:t xml:space="preserve">           第四部分  2018年度部门决算公开表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hint="eastAsia" w:ascii="仿宋" w:hAnsi="仿宋" w:eastAsia="仿宋" w:cs="仿宋"/>
          <w:b/>
          <w:bCs/>
          <w:sz w:val="32"/>
          <w:szCs w:val="32"/>
        </w:rPr>
        <w:t xml:space="preserve">               第一部分  单位基本情况</w:t>
      </w:r>
    </w:p>
    <w:p>
      <w:pPr>
        <w:spacing w:line="360" w:lineRule="auto"/>
        <w:rPr>
          <w:rFonts w:ascii="仿宋" w:hAnsi="仿宋" w:eastAsia="仿宋" w:cs="仿宋"/>
          <w:b/>
          <w:bCs/>
          <w:sz w:val="32"/>
          <w:szCs w:val="32"/>
        </w:rPr>
      </w:pP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部门职责</w:t>
      </w:r>
    </w:p>
    <w:p>
      <w:pPr>
        <w:ind w:firstLine="600" w:firstLineChars="200"/>
        <w:rPr>
          <w:rFonts w:ascii="仿宋_GB2312" w:eastAsia="仿宋_GB2312"/>
          <w:sz w:val="30"/>
          <w:szCs w:val="30"/>
        </w:rPr>
      </w:pPr>
      <w:r>
        <w:rPr>
          <w:rFonts w:hint="eastAsia" w:ascii="仿宋_GB2312" w:eastAsia="仿宋_GB2312"/>
          <w:sz w:val="30"/>
          <w:szCs w:val="30"/>
        </w:rPr>
        <w:t>1、根据党的路线、方针、政策及党在每个时期的中心任务和党的工运方针，确定工人工作的指导思想和任务、全县工会工作。</w:t>
      </w:r>
    </w:p>
    <w:p>
      <w:pPr>
        <w:ind w:firstLine="600" w:firstLineChars="200"/>
        <w:rPr>
          <w:rFonts w:ascii="仿宋_GB2312" w:eastAsia="仿宋_GB2312"/>
          <w:sz w:val="30"/>
          <w:szCs w:val="30"/>
        </w:rPr>
      </w:pPr>
      <w:r>
        <w:rPr>
          <w:rFonts w:hint="eastAsia" w:ascii="仿宋_GB2312" w:eastAsia="仿宋_GB2312"/>
          <w:sz w:val="30"/>
          <w:szCs w:val="30"/>
        </w:rPr>
        <w:t>2、依照《工会法》、《劳动法》和《中国工会章程》，组织和指导基层工会履行工会的维护、建设、参与、教育等各项社会职能，突出抓好维护职能，把建立平等协商、签订集体合同、订立劳动合同作为重点，使维权工作走上法制的轨道。</w:t>
      </w:r>
    </w:p>
    <w:p>
      <w:pPr>
        <w:ind w:firstLine="600" w:firstLineChars="200"/>
        <w:rPr>
          <w:rFonts w:ascii="仿宋_GB2312" w:eastAsia="仿宋_GB2312"/>
          <w:sz w:val="30"/>
          <w:szCs w:val="30"/>
        </w:rPr>
      </w:pPr>
      <w:r>
        <w:rPr>
          <w:rFonts w:hint="eastAsia" w:ascii="仿宋_GB2312" w:eastAsia="仿宋_GB2312"/>
          <w:sz w:val="30"/>
          <w:szCs w:val="30"/>
        </w:rPr>
        <w:t>3、对有关职工利益的重大问题进行调查研究，向县委、县政府反应职工的情绪、愿望和要求，并提出意见和建议；参与有关立法工作。</w:t>
      </w:r>
    </w:p>
    <w:p>
      <w:pPr>
        <w:ind w:firstLine="600" w:firstLineChars="200"/>
        <w:rPr>
          <w:rFonts w:ascii="仿宋_GB2312" w:eastAsia="仿宋_GB2312"/>
          <w:sz w:val="30"/>
          <w:szCs w:val="30"/>
        </w:rPr>
      </w:pPr>
      <w:r>
        <w:rPr>
          <w:rFonts w:hint="eastAsia" w:ascii="仿宋_GB2312" w:eastAsia="仿宋_GB2312"/>
          <w:sz w:val="30"/>
          <w:szCs w:val="30"/>
        </w:rPr>
        <w:t>4、指导全县工会的自身建设和改革，监督检查《中国工会章程》的贯彻执行，研究制订工会的各项组织制度和民主制度。</w:t>
      </w:r>
    </w:p>
    <w:p>
      <w:pPr>
        <w:ind w:firstLine="600" w:firstLineChars="200"/>
        <w:rPr>
          <w:rFonts w:ascii="仿宋_GB2312" w:eastAsia="仿宋_GB2312"/>
          <w:sz w:val="30"/>
          <w:szCs w:val="30"/>
        </w:rPr>
      </w:pPr>
      <w:r>
        <w:rPr>
          <w:rFonts w:hint="eastAsia" w:ascii="仿宋_GB2312" w:eastAsia="仿宋_GB2312"/>
          <w:sz w:val="30"/>
          <w:szCs w:val="30"/>
        </w:rPr>
        <w:t>5、同县委和各局党委协商推荐基层工会的主要领导人选及有关工作；研究制订工会干部管理制度和培训规划，并组织实施。</w:t>
      </w:r>
    </w:p>
    <w:p>
      <w:pPr>
        <w:ind w:firstLine="600" w:firstLineChars="200"/>
        <w:rPr>
          <w:rFonts w:ascii="仿宋_GB2312" w:eastAsia="仿宋_GB2312"/>
          <w:sz w:val="30"/>
          <w:szCs w:val="30"/>
        </w:rPr>
      </w:pPr>
      <w:r>
        <w:rPr>
          <w:rFonts w:hint="eastAsia" w:ascii="仿宋_GB2312" w:eastAsia="仿宋_GB2312"/>
          <w:sz w:val="30"/>
          <w:szCs w:val="30"/>
        </w:rPr>
        <w:t>6、负责县以上劳模的推荐、评选工作，负责全县劳模的管理工作。</w:t>
      </w:r>
    </w:p>
    <w:p>
      <w:pPr>
        <w:ind w:firstLine="600" w:firstLineChars="200"/>
        <w:rPr>
          <w:rFonts w:ascii="仿宋_GB2312" w:eastAsia="仿宋_GB2312"/>
          <w:sz w:val="30"/>
          <w:szCs w:val="30"/>
        </w:rPr>
      </w:pPr>
      <w:r>
        <w:rPr>
          <w:rFonts w:hint="eastAsia" w:ascii="仿宋_GB2312" w:eastAsia="仿宋_GB2312"/>
          <w:sz w:val="30"/>
          <w:szCs w:val="30"/>
        </w:rPr>
        <w:t>7、负责工会经费分收缴、管理、审计工作；负责工会企事业发展的指导和协调工作；负责全县工会系统资产管理工作。</w:t>
      </w: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机构设置</w:t>
      </w:r>
    </w:p>
    <w:p>
      <w:pPr>
        <w:ind w:firstLine="600" w:firstLineChars="200"/>
        <w:rPr>
          <w:rFonts w:ascii="仿宋" w:hAnsi="仿宋" w:eastAsia="仿宋" w:cs="仿宋"/>
          <w:sz w:val="30"/>
          <w:szCs w:val="30"/>
        </w:rPr>
      </w:pPr>
      <w:r>
        <w:rPr>
          <w:rFonts w:ascii="仿宋" w:hAnsi="仿宋" w:eastAsia="仿宋" w:cs="仿宋"/>
          <w:sz w:val="30"/>
          <w:szCs w:val="30"/>
        </w:rPr>
        <w:t>1</w:t>
      </w:r>
      <w:r>
        <w:rPr>
          <w:rFonts w:hint="eastAsia" w:ascii="仿宋" w:hAnsi="仿宋" w:eastAsia="仿宋" w:cs="仿宋"/>
          <w:sz w:val="30"/>
          <w:szCs w:val="30"/>
        </w:rPr>
        <w:t>、办公室</w:t>
      </w:r>
      <w:r>
        <w:rPr>
          <w:rFonts w:ascii="仿宋" w:hAnsi="仿宋" w:eastAsia="仿宋" w:cs="仿宋"/>
          <w:sz w:val="30"/>
          <w:szCs w:val="30"/>
        </w:rPr>
        <w:t>(</w:t>
      </w:r>
      <w:r>
        <w:rPr>
          <w:rFonts w:hint="eastAsia" w:ascii="仿宋" w:hAnsi="仿宋" w:eastAsia="仿宋" w:cs="仿宋"/>
          <w:sz w:val="30"/>
          <w:szCs w:val="30"/>
        </w:rPr>
        <w:t>法律顾问室、组织部、宣教部</w:t>
      </w:r>
      <w:r>
        <w:rPr>
          <w:rFonts w:ascii="仿宋" w:hAnsi="仿宋" w:eastAsia="仿宋" w:cs="仿宋"/>
          <w:sz w:val="30"/>
          <w:szCs w:val="30"/>
        </w:rPr>
        <w:t>)</w:t>
      </w:r>
    </w:p>
    <w:p>
      <w:pPr>
        <w:ind w:firstLine="600" w:firstLineChars="200"/>
        <w:rPr>
          <w:rFonts w:ascii="仿宋" w:hAnsi="仿宋" w:eastAsia="仿宋" w:cs="仿宋"/>
          <w:sz w:val="30"/>
          <w:szCs w:val="30"/>
        </w:rPr>
      </w:pPr>
      <w:r>
        <w:rPr>
          <w:rFonts w:ascii="仿宋" w:hAnsi="仿宋" w:eastAsia="仿宋" w:cs="仿宋"/>
          <w:sz w:val="30"/>
          <w:szCs w:val="30"/>
        </w:rPr>
        <w:t>2</w:t>
      </w:r>
      <w:r>
        <w:rPr>
          <w:rFonts w:hint="eastAsia" w:ascii="仿宋" w:hAnsi="仿宋" w:eastAsia="仿宋" w:cs="仿宋"/>
          <w:sz w:val="30"/>
          <w:szCs w:val="30"/>
        </w:rPr>
        <w:t>、女工、生活部</w:t>
      </w:r>
      <w:r>
        <w:rPr>
          <w:rFonts w:ascii="仿宋" w:hAnsi="仿宋" w:eastAsia="仿宋" w:cs="仿宋"/>
          <w:sz w:val="30"/>
          <w:szCs w:val="30"/>
        </w:rPr>
        <w:t>(</w:t>
      </w:r>
      <w:r>
        <w:rPr>
          <w:rFonts w:hint="eastAsia" w:ascii="仿宋" w:hAnsi="仿宋" w:eastAsia="仿宋" w:cs="仿宋"/>
          <w:sz w:val="30"/>
          <w:szCs w:val="30"/>
        </w:rPr>
        <w:t>“一帮一”办公室</w:t>
      </w:r>
      <w:r>
        <w:rPr>
          <w:rFonts w:ascii="仿宋" w:hAnsi="仿宋" w:eastAsia="仿宋" w:cs="仿宋"/>
          <w:sz w:val="30"/>
          <w:szCs w:val="30"/>
        </w:rPr>
        <w:t>)</w:t>
      </w:r>
    </w:p>
    <w:p>
      <w:pPr>
        <w:ind w:firstLine="600" w:firstLineChars="200"/>
        <w:rPr>
          <w:rFonts w:ascii="仿宋" w:hAnsi="仿宋" w:eastAsia="仿宋" w:cs="仿宋"/>
          <w:sz w:val="30"/>
          <w:szCs w:val="30"/>
        </w:rPr>
      </w:pPr>
      <w:r>
        <w:rPr>
          <w:rFonts w:ascii="仿宋" w:hAnsi="仿宋" w:eastAsia="仿宋" w:cs="仿宋"/>
          <w:sz w:val="30"/>
          <w:szCs w:val="30"/>
        </w:rPr>
        <w:t>3</w:t>
      </w:r>
      <w:r>
        <w:rPr>
          <w:rFonts w:hint="eastAsia" w:ascii="仿宋" w:hAnsi="仿宋" w:eastAsia="仿宋" w:cs="仿宋"/>
          <w:sz w:val="30"/>
          <w:szCs w:val="30"/>
        </w:rPr>
        <w:t>、民主管理部</w:t>
      </w:r>
      <w:r>
        <w:rPr>
          <w:rFonts w:ascii="仿宋" w:hAnsi="仿宋" w:eastAsia="仿宋" w:cs="仿宋"/>
          <w:sz w:val="30"/>
          <w:szCs w:val="30"/>
        </w:rPr>
        <w:t>(</w:t>
      </w:r>
      <w:r>
        <w:rPr>
          <w:rFonts w:hint="eastAsia" w:ascii="仿宋" w:hAnsi="仿宋" w:eastAsia="仿宋" w:cs="仿宋"/>
          <w:sz w:val="30"/>
          <w:szCs w:val="30"/>
        </w:rPr>
        <w:t>经济保护部</w:t>
      </w:r>
      <w:r>
        <w:rPr>
          <w:rFonts w:ascii="仿宋" w:hAnsi="仿宋" w:eastAsia="仿宋" w:cs="仿宋"/>
          <w:sz w:val="30"/>
          <w:szCs w:val="30"/>
        </w:rPr>
        <w:t>)</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ascii="仿宋" w:hAnsi="仿宋" w:eastAsia="仿宋" w:cs="仿宋"/>
          <w:sz w:val="30"/>
          <w:szCs w:val="30"/>
        </w:rPr>
      </w:pPr>
      <w:r>
        <w:rPr>
          <w:rFonts w:hint="eastAsia" w:ascii="仿宋" w:hAnsi="仿宋" w:eastAsia="仿宋" w:cs="仿宋"/>
          <w:color w:val="000000"/>
          <w:kern w:val="0"/>
          <w:sz w:val="30"/>
          <w:szCs w:val="30"/>
        </w:rPr>
        <w:t>2018年度纳入本部门决算的编制范围的单位有1个，为集贤县总工会。2018年末</w:t>
      </w:r>
      <w:r>
        <w:rPr>
          <w:rFonts w:hint="eastAsia" w:ascii="仿宋" w:hAnsi="仿宋" w:eastAsia="仿宋" w:cs="仿宋"/>
          <w:sz w:val="30"/>
          <w:szCs w:val="30"/>
        </w:rPr>
        <w:t xml:space="preserve">行政编制7人，事业编制16人；年末机构实有人数39人，其中：在职人员18人，离休人员21人。 </w:t>
      </w:r>
    </w:p>
    <w:p>
      <w:pPr>
        <w:widowControl/>
        <w:spacing w:line="360" w:lineRule="auto"/>
        <w:ind w:firstLine="640"/>
        <w:jc w:val="left"/>
        <w:rPr>
          <w:rFonts w:ascii="仿宋" w:hAnsi="仿宋" w:eastAsia="仿宋" w:cs="仿宋"/>
          <w:sz w:val="30"/>
          <w:szCs w:val="30"/>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 2018年部门预算执行总体情况说明</w:t>
      </w:r>
    </w:p>
    <w:p>
      <w:pPr>
        <w:spacing w:line="360" w:lineRule="auto"/>
        <w:jc w:val="left"/>
        <w:rPr>
          <w:rFonts w:ascii="仿宋" w:hAnsi="仿宋" w:eastAsia="仿宋" w:cs="仿宋"/>
          <w:sz w:val="32"/>
          <w:szCs w:val="32"/>
        </w:rPr>
      </w:pP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kern w:val="0"/>
          <w:sz w:val="30"/>
          <w:szCs w:val="30"/>
        </w:rPr>
        <w:t>2018年度部门决算收、支总计97.85万元，其中：本年收入97.78万元；用事业基金弥补收支差额0万元；年初结转和结余0.08万元；本年支出97.72万元；结余分配0万元，年末结转和结余0.13万元。</w:t>
      </w:r>
      <w:r>
        <w:rPr>
          <w:rFonts w:hint="eastAsia" w:ascii="仿宋" w:hAnsi="仿宋" w:eastAsia="仿宋" w:cs="仿宋"/>
          <w:sz w:val="30"/>
          <w:szCs w:val="30"/>
        </w:rPr>
        <w:t>与 2017年度相比，收、支总计均减少53.96万元，同比下降35.5 %。主要原因：</w:t>
      </w:r>
      <w:r>
        <w:rPr>
          <w:rFonts w:hint="eastAsia" w:ascii="仿宋" w:hAnsi="仿宋" w:eastAsia="仿宋" w:cs="仿宋"/>
          <w:color w:val="000000"/>
          <w:sz w:val="30"/>
          <w:szCs w:val="30"/>
        </w:rPr>
        <w:t>公用经费压缩、</w:t>
      </w:r>
      <w:r>
        <w:rPr>
          <w:rFonts w:hint="eastAsia" w:ascii="仿宋" w:hAnsi="仿宋" w:eastAsia="仿宋" w:cs="仿宋"/>
          <w:sz w:val="30"/>
          <w:szCs w:val="30"/>
        </w:rPr>
        <w:t>退休人员纳入社保开支。</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本年收入合计97.78万元，与 2017年度相比，减少45.21万元，同比下降31.6%。主要原因：</w:t>
      </w:r>
      <w:r>
        <w:rPr>
          <w:rFonts w:hint="eastAsia" w:ascii="仿宋" w:hAnsi="仿宋" w:eastAsia="仿宋" w:cs="仿宋"/>
          <w:color w:val="000000"/>
          <w:sz w:val="30"/>
          <w:szCs w:val="30"/>
        </w:rPr>
        <w:t>公用经费压缩、</w:t>
      </w:r>
      <w:r>
        <w:rPr>
          <w:rFonts w:hint="eastAsia" w:ascii="仿宋" w:hAnsi="仿宋" w:eastAsia="仿宋" w:cs="仿宋"/>
          <w:sz w:val="30"/>
          <w:szCs w:val="30"/>
        </w:rPr>
        <w:t>退休人员纳入社保开支。</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其中：财政拨款收入97.78万元，占收入合计的100%；事业收入    0万元，占0 %；其他收入 0万元，占收入合计的0%。</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本年支出合计97.72万元，与2017年度相比，减少54.09万元，同比下降35.6 %。主要原因：</w:t>
      </w:r>
      <w:r>
        <w:rPr>
          <w:rFonts w:hint="eastAsia" w:ascii="仿宋" w:hAnsi="仿宋" w:eastAsia="仿宋" w:cs="仿宋"/>
          <w:color w:val="000000"/>
          <w:sz w:val="30"/>
          <w:szCs w:val="30"/>
        </w:rPr>
        <w:t>公用经费压缩、</w:t>
      </w:r>
      <w:r>
        <w:rPr>
          <w:rFonts w:hint="eastAsia" w:ascii="仿宋" w:hAnsi="仿宋" w:eastAsia="仿宋" w:cs="仿宋"/>
          <w:sz w:val="30"/>
          <w:szCs w:val="30"/>
        </w:rPr>
        <w:t xml:space="preserve">退休人员纳入社保开支。    。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其中：基本支出97.72万元，占支出合计的100%；项目支出0万元，占支出合计的0%。</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highlight w:val="yellow"/>
        </w:rPr>
      </w:pPr>
      <w:r>
        <w:rPr>
          <w:rFonts w:hint="eastAsia" w:ascii="仿宋" w:hAnsi="仿宋" w:eastAsia="仿宋" w:cs="仿宋"/>
          <w:sz w:val="30"/>
          <w:szCs w:val="30"/>
        </w:rPr>
        <w:t>2018年度财政拨款收、支总计97.85万元。与 2017年度相比，财政拨款收、支总计各减少53.96万元，下降35.5%。主要原因：</w:t>
      </w:r>
      <w:r>
        <w:rPr>
          <w:rFonts w:hint="eastAsia" w:ascii="仿宋" w:hAnsi="仿宋" w:eastAsia="仿宋" w:cs="仿宋"/>
          <w:color w:val="000000"/>
          <w:sz w:val="30"/>
          <w:szCs w:val="30"/>
        </w:rPr>
        <w:t>公用经费压缩、</w:t>
      </w:r>
      <w:r>
        <w:rPr>
          <w:rFonts w:hint="eastAsia" w:ascii="仿宋" w:hAnsi="仿宋" w:eastAsia="仿宋" w:cs="仿宋"/>
          <w:sz w:val="30"/>
          <w:szCs w:val="30"/>
        </w:rPr>
        <w:t>退休人员纳入社保开支 。</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五、一般公共预算财政拨款支出决算情况说明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2018年度一般公共预算财政拨款支出97.72万元，与2017年决算数相比，减少54.09万元，下降35.6%，主要原因是</w:t>
      </w:r>
      <w:r>
        <w:rPr>
          <w:rFonts w:hint="eastAsia" w:ascii="仿宋" w:hAnsi="仿宋" w:eastAsia="仿宋" w:cs="仿宋"/>
          <w:color w:val="000000"/>
          <w:sz w:val="30"/>
          <w:szCs w:val="30"/>
        </w:rPr>
        <w:t>公用经费压缩、</w:t>
      </w:r>
      <w:r>
        <w:rPr>
          <w:rFonts w:hint="eastAsia" w:ascii="仿宋" w:hAnsi="仿宋" w:eastAsia="仿宋" w:cs="仿宋"/>
          <w:sz w:val="30"/>
          <w:szCs w:val="30"/>
        </w:rPr>
        <w:t>退休人员纳入社保开支。</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2018年度一般公共预算财政拨款支出97.72万元，主要用于以下方面：一般公共服务支出（类）39.97万元，占40.9%；社会保障和就业支出（类）54.78万元，占 56.1%；住房保障支出（类）2.97万元，占3.0%。</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2018年度一般公共预算财政拨款支出年初预算为165.59万元，支出决算为97.72万元，完成年初预算的59.0%。其中：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1、一般公共服务支出（类）群众团体事务（款）行政运行（项）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2018年初预算为31.75万元，支出决算为39.97万元 ，完成年初预算的125.9%。决算数大于预算数的主要原因是人员工资上调。</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2、社会保障和就业支出（类）行政事业单位离退休（款）未归口管理的行政单位离退休（项）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2018年初预算为131.11万元，支出决算为54.78万元 ，完成年初预算的41.8%。决算数小于预算数的主要原因是退休人员纳入社保开支。</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3、住房保障支出（类）住房改革支出（款）住房公积金（项）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2018年初预算为2.73万元，支出决算为2.97万元 ，完成年初预算的108.8%。决算数大于预算数的主要原因是人员工资上调。</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2018年度一般公共预算财政拨款基本支出97.72万元，其中：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 97.71万元，主要包括：基本工资、津贴补贴、奖金、住房公积金、其他工资福利支出、离休费、退休费、抚恤金、生活补助、救济费；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公用经费0.01万元，主要包括：手续费。</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2018年度“三公”经费财政拨款支出决算为0万元，比2017年增加（减少）0万元，增长（下降）0 %,主要原因是0 。年初预算为0 万元，完成预算的0 %，2018年度“三公”经费支出决算数小于预算数的主要原因是无公务用车。</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b/>
          <w:bCs/>
          <w:sz w:val="30"/>
          <w:szCs w:val="30"/>
        </w:rPr>
        <w:t>因公出国（境）费</w:t>
      </w:r>
      <w:r>
        <w:rPr>
          <w:rFonts w:hint="eastAsia" w:ascii="仿宋" w:hAnsi="仿宋" w:eastAsia="仿宋" w:cs="仿宋"/>
          <w:sz w:val="30"/>
          <w:szCs w:val="30"/>
        </w:rPr>
        <w:t>年初预算为0万元，支出决算为 0万元，完成预算的 0%，主要用于</w:t>
      </w: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。决算数小于预算数的主要原因：无；与上年决算相比，增加（减少）0万元，增长（下降）0%，主要原因是无；全年安排因公出国（境）团组0个，累计0人次。</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b/>
          <w:bCs/>
          <w:sz w:val="30"/>
          <w:szCs w:val="30"/>
        </w:rPr>
        <w:t>公务用车购置及运行费</w:t>
      </w:r>
      <w:r>
        <w:rPr>
          <w:rFonts w:hint="eastAsia" w:ascii="仿宋" w:hAnsi="仿宋" w:eastAsia="仿宋" w:cs="仿宋"/>
          <w:sz w:val="30"/>
          <w:szCs w:val="30"/>
        </w:rPr>
        <w:t xml:space="preserve">年初预算为0万元，支出决算为0 万元，完成预算的0 %；与上年决算比减少（增加）0万元，下降（增长）0 %，主要原因是 </w:t>
      </w: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；其中：公务用车购置支出0万元，主要用于</w:t>
      </w: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，与上年决算比减少（增加）0万元，下降（增长）0 %；公务用车运行维护费0 万元，主要用于</w:t>
      </w: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，与上年决算比减少（增加）0万元，下降（增长）0 %；公务用车购置数0 辆，公务用车保有量 0辆。</w:t>
      </w:r>
    </w:p>
    <w:p>
      <w:pPr>
        <w:widowControl/>
        <w:spacing w:line="360" w:lineRule="auto"/>
        <w:ind w:firstLine="602" w:firstLineChars="200"/>
        <w:jc w:val="left"/>
        <w:rPr>
          <w:rFonts w:ascii="仿宋" w:hAnsi="仿宋" w:eastAsia="仿宋" w:cs="仿宋"/>
          <w:sz w:val="30"/>
          <w:szCs w:val="30"/>
        </w:rPr>
      </w:pPr>
      <w:r>
        <w:rPr>
          <w:rFonts w:hint="eastAsia" w:ascii="仿宋" w:hAnsi="仿宋" w:eastAsia="仿宋" w:cs="仿宋"/>
          <w:b/>
          <w:bCs/>
          <w:sz w:val="30"/>
          <w:szCs w:val="30"/>
        </w:rPr>
        <w:t>3、公务接待费</w:t>
      </w:r>
      <w:r>
        <w:rPr>
          <w:rFonts w:hint="eastAsia" w:ascii="仿宋" w:hAnsi="仿宋" w:eastAsia="仿宋" w:cs="仿宋"/>
          <w:sz w:val="30"/>
          <w:szCs w:val="30"/>
        </w:rPr>
        <w:t xml:space="preserve">年初预算为0万元，支出决算为0万元，完成预算的0 %，主要用于： </w:t>
      </w:r>
      <w:r>
        <w:rPr>
          <w:rFonts w:hint="eastAsia" w:ascii="仿宋" w:hAnsi="仿宋" w:eastAsia="仿宋" w:cs="仿宋"/>
          <w:sz w:val="30"/>
          <w:szCs w:val="30"/>
          <w:lang w:val="en-US" w:eastAsia="zh-CN"/>
        </w:rPr>
        <w:t>无</w:t>
      </w:r>
      <w:r>
        <w:rPr>
          <w:rFonts w:hint="eastAsia" w:ascii="仿宋" w:hAnsi="仿宋" w:eastAsia="仿宋" w:cs="仿宋"/>
          <w:sz w:val="30"/>
          <w:szCs w:val="30"/>
        </w:rPr>
        <w:t xml:space="preserve">  ；与上年决算比减少（增加）0万元，下降（增长）0%，主要原因是 </w:t>
      </w:r>
      <w:r>
        <w:rPr>
          <w:rFonts w:hint="eastAsia" w:ascii="仿宋" w:hAnsi="仿宋" w:eastAsia="仿宋" w:cs="仿宋"/>
          <w:sz w:val="30"/>
          <w:szCs w:val="30"/>
          <w:lang w:val="en-US" w:eastAsia="zh-CN"/>
        </w:rPr>
        <w:t>无</w:t>
      </w:r>
      <w:bookmarkStart w:id="0" w:name="_GoBack"/>
      <w:bookmarkEnd w:id="0"/>
      <w:r>
        <w:rPr>
          <w:rFonts w:hint="eastAsia" w:ascii="仿宋" w:hAnsi="仿宋" w:eastAsia="仿宋" w:cs="仿宋"/>
          <w:sz w:val="30"/>
          <w:szCs w:val="30"/>
        </w:rPr>
        <w:t xml:space="preserve"> 。其中：国内公务接待费 0万元，国内公务接待批次0个，国内公务接待人次0人；国（境）外公务接待费0万元，国（境）外公务接待批次 0个，国（境）外公务接待人次 0 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 xml:space="preserve">    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2018年度政府性基金预算财政拨款年初结转和结余0万元，本年收入决算数0万元，本年支出决算数0万元，年末结转和结余0万元。与 2017年相比，政府性基金预算财政拨款支出增加（减少）0万元，增长（下降）0 %，主要原因是本部门2018年没有政府性基金收入，也没有使用政府性基金安排的支出。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年初预算为0万元，支出决算为0 万元。本年收入0万元，已结转下年。</w:t>
      </w:r>
    </w:p>
    <w:p>
      <w:pPr>
        <w:widowControl/>
        <w:numPr>
          <w:ilvl w:val="0"/>
          <w:numId w:val="5"/>
        </w:numPr>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预算绩效管理工作开展情况说明。</w:t>
      </w:r>
    </w:p>
    <w:p>
      <w:pPr>
        <w:widowControl/>
        <w:spacing w:line="360" w:lineRule="auto"/>
        <w:jc w:val="left"/>
        <w:rPr>
          <w:rFonts w:ascii="仿宋" w:hAnsi="仿宋" w:eastAsia="仿宋" w:cs="仿宋"/>
          <w:color w:val="000000"/>
          <w:sz w:val="30"/>
          <w:szCs w:val="30"/>
        </w:rPr>
      </w:pPr>
      <w:r>
        <w:rPr>
          <w:rFonts w:hint="eastAsia" w:ascii="仿宋" w:hAnsi="仿宋" w:eastAsia="仿宋" w:cs="仿宋"/>
          <w:b/>
          <w:bCs/>
          <w:sz w:val="32"/>
          <w:szCs w:val="32"/>
        </w:rPr>
        <w:t xml:space="preserve">  </w:t>
      </w:r>
      <w:r>
        <w:rPr>
          <w:rFonts w:hint="eastAsia" w:ascii="仿宋" w:hAnsi="仿宋" w:eastAsia="仿宋" w:cs="仿宋"/>
          <w:color w:val="000000"/>
          <w:sz w:val="30"/>
          <w:szCs w:val="30"/>
        </w:rPr>
        <w:t xml:space="preserve">   2018年度没有20万元以上项目、政府购买公共服务项目和市级以上专项，故没有开展绩效评价工作。</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（一）机关运行经费支出情况</w:t>
      </w:r>
    </w:p>
    <w:p>
      <w:pPr>
        <w:widowControl/>
        <w:spacing w:line="360" w:lineRule="auto"/>
        <w:ind w:firstLine="600"/>
        <w:jc w:val="left"/>
        <w:rPr>
          <w:rFonts w:ascii="仿宋" w:hAnsi="仿宋" w:eastAsia="仿宋" w:cs="仿宋"/>
          <w:color w:val="000000"/>
          <w:sz w:val="30"/>
          <w:szCs w:val="30"/>
        </w:rPr>
      </w:pPr>
      <w:r>
        <w:rPr>
          <w:rFonts w:hint="eastAsia" w:ascii="仿宋" w:hAnsi="仿宋" w:eastAsia="仿宋" w:cs="仿宋"/>
          <w:color w:val="000000"/>
          <w:sz w:val="30"/>
          <w:szCs w:val="30"/>
        </w:rPr>
        <w:t>2018年度机关运行经费支出0.01万元，较年初预算减少2.63万元，下降99.5 %，主要原因公用经费压缩；较上年决算减少5.28万元，同比下降99.8 % ，主要原因是：公用经费压缩。</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（二）政府采购支出情况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2018年本部门政府采购支出总额0万元，其中：政府采购货物支出0万元、政府采购工程支出0万元、政府采购服务支出 0万元。授予中小企业合同金额0万元，占政府采购支出总额的0 %。其中：授予小微企业合同金额0万元，占政府采购支出总额的0 %。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（三）国有资产占用情况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截至2018年12月31日，本部门共有车辆0辆，其中：副部（省）级及以上领导用车0辆、主要领导干部用车0辆、机要通信用车0辆，应急保障用车 0、执法执勤用车0辆、特种专业技术用车0辆、离退休干部用车0辆，其他用车0辆。单价50万元以上通用设备0台(套)，单价100万元以上专用设备0台(套)。</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 xml:space="preserve">根据《2018年政府收支分类科目》对2018年度部门决算公开中相关名词解释如下：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基本支出：指为保障机构正常运转、完成日常工作任务而发生的人员支出和公用支出。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政府采购：指国家各级政府为从事日常的政务活动或为了满足公共服务的目的，利用国家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fldChar w:fldCharType="begin"/>
      </w:r>
      <w:r>
        <w:instrText xml:space="preserve"> HYPERLINK "http://baike.so.com/doc/4796448-5012566.html" \t "_blank" </w:instrText>
      </w:r>
      <w: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国有资产：国有资产是法律上确定为国家所有并能为国家提供经济和</w:t>
      </w:r>
      <w:r>
        <w:fldChar w:fldCharType="begin"/>
      </w:r>
      <w:r>
        <w:instrText xml:space="preserve"> HYPERLINK "http://baike.so.com/doc/741806-785246.html" \t "_blank" </w:instrText>
      </w:r>
      <w: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fldChar w:fldCharType="begin"/>
      </w:r>
      <w:r>
        <w:instrText xml:space="preserve"> HYPERLINK "http://baike.so.com/doc/7798608-8072703.html" \t "_blank" </w:instrText>
      </w:r>
      <w: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fldChar w:fldCharType="begin"/>
      </w:r>
      <w:r>
        <w:instrText xml:space="preserve"> HYPERLINK "http://baike.so.com/doc/5368106-5603892.html" \t "_blank" </w:instrText>
      </w:r>
      <w: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fldChar w:fldCharType="begin"/>
      </w:r>
      <w:r>
        <w:instrText xml:space="preserve"> HYPERLINK "http://baike.so.com/doc/5399886-5637441.html" \t "_blank" </w:instrText>
      </w:r>
      <w: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widowControl/>
        <w:spacing w:line="360" w:lineRule="auto"/>
        <w:ind w:firstLine="600" w:firstLineChars="200"/>
        <w:jc w:val="left"/>
        <w:rPr>
          <w:rFonts w:ascii="仿宋" w:hAnsi="仿宋" w:eastAsia="仿宋" w:cs="仿宋"/>
          <w:bCs/>
          <w:color w:val="111111"/>
          <w:kern w:val="0"/>
          <w:sz w:val="30"/>
          <w:szCs w:val="30"/>
        </w:rPr>
      </w:pP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附件：2018年度部门决算公开表格</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Fonts w:ascii="宋体" w:hAnsi="宋体"/>
        <w:sz w:val="24"/>
        <w:szCs w:val="24"/>
      </w:rPr>
    </w:pPr>
    <w:r>
      <w:rPr>
        <w:rFonts w:ascii="宋体" w:hAnsi="宋体"/>
        <w:sz w:val="24"/>
        <w:szCs w:val="24"/>
      </w:rPr>
      <w:fldChar w:fldCharType="begin"/>
    </w:r>
    <w:r>
      <w:rPr>
        <w:rStyle w:val="8"/>
        <w:rFonts w:ascii="宋体" w:hAnsi="宋体"/>
        <w:sz w:val="24"/>
        <w:szCs w:val="24"/>
      </w:rPr>
      <w:instrText xml:space="preserve">PAGE  </w:instrText>
    </w:r>
    <w:r>
      <w:rPr>
        <w:rFonts w:ascii="宋体" w:hAnsi="宋体"/>
        <w:sz w:val="24"/>
        <w:szCs w:val="24"/>
      </w:rPr>
      <w:fldChar w:fldCharType="separate"/>
    </w:r>
    <w:r>
      <w:rPr>
        <w:rStyle w:val="8"/>
        <w:rFonts w:ascii="宋体" w:hAnsi="宋体"/>
        <w:sz w:val="24"/>
        <w:szCs w:val="24"/>
      </w:rPr>
      <w:t>- 4 -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D75BB9F"/>
    <w:multiLevelType w:val="singleLevel"/>
    <w:tmpl w:val="5D75BB9F"/>
    <w:lvl w:ilvl="0" w:tentative="0">
      <w:start w:val="1"/>
      <w:numFmt w:val="chineseCounting"/>
      <w:suff w:val="nothing"/>
      <w:lvlText w:val="%1、"/>
      <w:lvlJc w:val="left"/>
    </w:lvl>
  </w:abstractNum>
  <w:abstractNum w:abstractNumId="4">
    <w:nsid w:val="5D7EDA3B"/>
    <w:multiLevelType w:val="singleLevel"/>
    <w:tmpl w:val="5D7EDA3B"/>
    <w:lvl w:ilvl="0" w:tentative="0">
      <w:start w:val="9"/>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41522A4"/>
    <w:rsid w:val="001072E7"/>
    <w:rsid w:val="00157059"/>
    <w:rsid w:val="001F39D3"/>
    <w:rsid w:val="00201822"/>
    <w:rsid w:val="003800B4"/>
    <w:rsid w:val="004D28BB"/>
    <w:rsid w:val="004F68B5"/>
    <w:rsid w:val="005668C4"/>
    <w:rsid w:val="006644AF"/>
    <w:rsid w:val="006D49E4"/>
    <w:rsid w:val="008317BC"/>
    <w:rsid w:val="008557E7"/>
    <w:rsid w:val="00864737"/>
    <w:rsid w:val="00883ACE"/>
    <w:rsid w:val="009C0372"/>
    <w:rsid w:val="00A43E4B"/>
    <w:rsid w:val="00B019FD"/>
    <w:rsid w:val="00B22E01"/>
    <w:rsid w:val="00C954AD"/>
    <w:rsid w:val="00DA530E"/>
    <w:rsid w:val="00E6562C"/>
    <w:rsid w:val="00EA24D6"/>
    <w:rsid w:val="00EC4683"/>
    <w:rsid w:val="00F7571F"/>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5C642A"/>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Autospacing="1" w:afterAutospacing="1"/>
      <w:jc w:val="left"/>
    </w:pPr>
    <w:rPr>
      <w:rFonts w:ascii="宋体" w:hAnsi="宋体" w:cs="宋体"/>
      <w:kern w:val="0"/>
      <w:sz w:val="24"/>
    </w:rPr>
  </w:style>
  <w:style w:type="character" w:styleId="7">
    <w:name w:val="Strong"/>
    <w:basedOn w:val="6"/>
    <w:qFormat/>
    <w:uiPriority w:val="0"/>
    <w:rPr>
      <w:b/>
    </w:rPr>
  </w:style>
  <w:style w:type="character" w:styleId="8">
    <w:name w:val="page number"/>
    <w:basedOn w:val="6"/>
    <w:qFormat/>
    <w:uiPriority w:val="0"/>
  </w:style>
  <w:style w:type="character" w:styleId="9">
    <w:name w:val="Hyperlink"/>
    <w:qFormat/>
    <w:uiPriority w:val="0"/>
    <w:rPr>
      <w:color w:val="141414"/>
      <w:u w:val="none"/>
    </w:rPr>
  </w:style>
  <w:style w:type="character" w:customStyle="1" w:styleId="10">
    <w:name w:val="apple-converted-space"/>
    <w:basedOn w:val="6"/>
    <w:qFormat/>
    <w:uiPriority w:val="0"/>
  </w:style>
  <w:style w:type="character" w:customStyle="1" w:styleId="11">
    <w:name w:val="页眉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13</Pages>
  <Words>965</Words>
  <Characters>5505</Characters>
  <Lines>45</Lines>
  <Paragraphs>12</Paragraphs>
  <TotalTime>131</TotalTime>
  <ScaleCrop>false</ScaleCrop>
  <LinksUpToDate>false</LinksUpToDate>
  <CharactersWithSpaces>6458</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2019-09-21T08:00:11Z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